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bookmarkStart w:id="0" w:name="_GoBack"/>
      <w:r w:rsidRPr="001F001A">
        <w:rPr>
          <w:b/>
          <w:bCs/>
          <w:color w:val="373E48"/>
          <w:sz w:val="24"/>
          <w:szCs w:val="24"/>
          <w:lang w:eastAsia="ru-RU"/>
        </w:rPr>
        <w:t xml:space="preserve">3. </w:t>
      </w:r>
      <w:r w:rsidRPr="001F001A">
        <w:rPr>
          <w:b/>
          <w:bCs/>
          <w:color w:val="373E48"/>
          <w:sz w:val="24"/>
          <w:szCs w:val="24"/>
          <w:lang w:eastAsia="ru-RU"/>
        </w:rPr>
        <w:t>Требования к Принципалу/Заемщику</w:t>
      </w:r>
    </w:p>
    <w:bookmarkEnd w:id="0"/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Заемщики должны соответствовать требованиям, предъявляемым к Субъекту МСП, указанным в разделе 3.1 Правил.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Для рассмотрения заявки на получение Гарантии Заемщика из числа Субъектов МСП приоритетных направлений: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 xml:space="preserve">1. </w:t>
      </w:r>
      <w:proofErr w:type="gramStart"/>
      <w:r w:rsidRPr="001F001A">
        <w:rPr>
          <w:color w:val="373E48"/>
          <w:sz w:val="24"/>
          <w:szCs w:val="24"/>
          <w:lang w:eastAsia="ru-RU"/>
        </w:rPr>
        <w:t xml:space="preserve">Для Субъектов МСП приоритетных территорий – 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Федерации, входящие в состав Дальневосточного, Северо-Кавказского федеральных округов, субъекты Российской Федерации (муниципальные образования), входящие в Арктическую зону Российской Федерации, Республика Крым и г. Севастополь, </w:t>
      </w:r>
      <w:proofErr w:type="spellStart"/>
      <w:r w:rsidRPr="001F001A">
        <w:rPr>
          <w:color w:val="373E48"/>
          <w:sz w:val="24"/>
          <w:szCs w:val="24"/>
          <w:lang w:eastAsia="ru-RU"/>
        </w:rPr>
        <w:t>монопрофильные</w:t>
      </w:r>
      <w:proofErr w:type="spellEnd"/>
      <w:r w:rsidRPr="001F001A">
        <w:rPr>
          <w:color w:val="373E48"/>
          <w:sz w:val="24"/>
          <w:szCs w:val="24"/>
          <w:lang w:eastAsia="ru-RU"/>
        </w:rPr>
        <w:t xml:space="preserve"> муниципальные образования (моногорода) </w:t>
      </w:r>
      <w:hyperlink w:anchor="38" w:history="1">
        <w:r w:rsidRPr="001F001A">
          <w:rPr>
            <w:rStyle w:val="a3"/>
            <w:sz w:val="24"/>
            <w:szCs w:val="24"/>
            <w:lang w:eastAsia="ru-RU"/>
          </w:rPr>
          <w:t>(1)</w:t>
        </w:r>
      </w:hyperlink>
      <w:r w:rsidRPr="001F001A">
        <w:rPr>
          <w:color w:val="373E48"/>
          <w:sz w:val="24"/>
          <w:szCs w:val="24"/>
          <w:lang w:eastAsia="ru-RU"/>
        </w:rPr>
        <w:t>, населенные пункты, расположенные на территориях закрытых административно-территориальных</w:t>
      </w:r>
      <w:proofErr w:type="gramEnd"/>
      <w:r w:rsidRPr="001F001A">
        <w:rPr>
          <w:color w:val="373E48"/>
          <w:sz w:val="24"/>
          <w:szCs w:val="24"/>
          <w:lang w:eastAsia="ru-RU"/>
        </w:rPr>
        <w:t xml:space="preserve"> образований </w:t>
      </w:r>
      <w:hyperlink w:anchor="39" w:history="1">
        <w:r w:rsidRPr="001F001A">
          <w:rPr>
            <w:rStyle w:val="a3"/>
            <w:sz w:val="24"/>
            <w:szCs w:val="24"/>
            <w:lang w:eastAsia="ru-RU"/>
          </w:rPr>
          <w:t>(</w:t>
        </w:r>
        <w:r>
          <w:rPr>
            <w:rStyle w:val="a3"/>
            <w:sz w:val="24"/>
            <w:szCs w:val="24"/>
            <w:lang w:eastAsia="ru-RU"/>
          </w:rPr>
          <w:t>2</w:t>
        </w:r>
        <w:r w:rsidRPr="001F001A">
          <w:rPr>
            <w:rStyle w:val="a3"/>
            <w:sz w:val="24"/>
            <w:szCs w:val="24"/>
            <w:lang w:eastAsia="ru-RU"/>
          </w:rPr>
          <w:t>)</w:t>
        </w:r>
      </w:hyperlink>
      <w:r w:rsidRPr="001F001A">
        <w:rPr>
          <w:color w:val="373E48"/>
          <w:sz w:val="24"/>
          <w:szCs w:val="24"/>
          <w:lang w:eastAsia="ru-RU"/>
        </w:rPr>
        <w:t xml:space="preserve">, а также регионы со сложной социально-экономической ситуацией </w:t>
      </w:r>
      <w:hyperlink w:anchor="40" w:history="1">
        <w:r w:rsidRPr="001F001A">
          <w:rPr>
            <w:rStyle w:val="a3"/>
            <w:sz w:val="24"/>
            <w:szCs w:val="24"/>
            <w:lang w:eastAsia="ru-RU"/>
          </w:rPr>
          <w:t>(</w:t>
        </w:r>
        <w:r>
          <w:rPr>
            <w:rStyle w:val="a3"/>
            <w:sz w:val="24"/>
            <w:szCs w:val="24"/>
            <w:lang w:eastAsia="ru-RU"/>
          </w:rPr>
          <w:t>3</w:t>
        </w:r>
        <w:r w:rsidRPr="001F001A">
          <w:rPr>
            <w:rStyle w:val="a3"/>
            <w:sz w:val="24"/>
            <w:szCs w:val="24"/>
            <w:lang w:eastAsia="ru-RU"/>
          </w:rPr>
          <w:t>)</w:t>
        </w:r>
      </w:hyperlink>
      <w:r w:rsidRPr="001F001A">
        <w:rPr>
          <w:color w:val="373E48"/>
          <w:sz w:val="24"/>
          <w:szCs w:val="24"/>
          <w:lang w:eastAsia="ru-RU"/>
        </w:rPr>
        <w:t xml:space="preserve"> 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2. Для Субъектов МСП приоритетных сфер экономики: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proofErr w:type="gramStart"/>
      <w:r w:rsidRPr="001F001A">
        <w:rPr>
          <w:color w:val="373E48"/>
          <w:sz w:val="24"/>
          <w:szCs w:val="24"/>
          <w:lang w:eastAsia="ru-RU"/>
        </w:rPr>
        <w:t>– Субъекты МСП являются сельскохозяйственными кооперативами (за исключением сельскохозяйственных кредитных потребительских кооперативов), членами сельскохозяйственных кооперативов (за исключением сельскохозяйственных кредитных потребительских кооперативов), осуществляющими производство, первичную и (или) последующую (промышленную) переработку сельскохозяйственной продукции и (или) ее реализацию, крестьянскими (фермерскими) хозяйствами без ограничений по годовому доходу, а также хозяйственными обществами, хозяйственными партнерствами и индивидуальными  предпринимателями, осуществляющими производство и переработку сельскохозяйственной продукции, а также производственными</w:t>
      </w:r>
      <w:proofErr w:type="gramEnd"/>
      <w:r w:rsidRPr="001F001A">
        <w:rPr>
          <w:color w:val="373E48"/>
          <w:sz w:val="24"/>
          <w:szCs w:val="24"/>
          <w:lang w:eastAsia="ru-RU"/>
        </w:rPr>
        <w:t xml:space="preserve"> кооперативами (за исключением сельскохозяйственных кооперативов), осуществляющими закупку сельскохозяйственного сырья, годовой доход которых за отчетный финансовый год составляет не более 200 млн. рублей;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– Субъекты МСП, осуществляющие деятельность в сфере туризма;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– Субъекты МСП являются Застройщиками, заключающими/заключившими Кредитный договор в соответствии с ФЗ № 214-ФЗ;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3. Для Субъектов МСП, отнесенных к приоритетным категориям получателей гарантийной поддержки: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proofErr w:type="gramStart"/>
      <w:r w:rsidRPr="001F001A">
        <w:rPr>
          <w:color w:val="373E48"/>
          <w:sz w:val="24"/>
          <w:szCs w:val="24"/>
          <w:lang w:eastAsia="ru-RU"/>
        </w:rPr>
        <w:t xml:space="preserve">– являются Экспортерами, которые заключили или планируют заключить экспортный контракт, предусматривающий реализацию </w:t>
      </w:r>
      <w:proofErr w:type="spellStart"/>
      <w:r w:rsidRPr="001F001A">
        <w:rPr>
          <w:color w:val="373E48"/>
          <w:sz w:val="24"/>
          <w:szCs w:val="24"/>
          <w:lang w:eastAsia="ru-RU"/>
        </w:rPr>
        <w:t>несырьевой</w:t>
      </w:r>
      <w:proofErr w:type="spellEnd"/>
      <w:r w:rsidRPr="001F001A">
        <w:rPr>
          <w:color w:val="373E48"/>
          <w:sz w:val="24"/>
          <w:szCs w:val="24"/>
          <w:lang w:eastAsia="ru-RU"/>
        </w:rPr>
        <w:t xml:space="preserve"> неэнергетической продукции (товаров, работ, услуг) </w:t>
      </w:r>
      <w:hyperlink w:anchor="41" w:history="1">
        <w:r w:rsidRPr="001F001A">
          <w:rPr>
            <w:rStyle w:val="a3"/>
            <w:sz w:val="24"/>
            <w:szCs w:val="24"/>
            <w:lang w:eastAsia="ru-RU"/>
          </w:rPr>
          <w:t>(</w:t>
        </w:r>
        <w:r>
          <w:rPr>
            <w:rStyle w:val="a3"/>
            <w:sz w:val="24"/>
            <w:szCs w:val="24"/>
            <w:lang w:eastAsia="ru-RU"/>
          </w:rPr>
          <w:t>4</w:t>
        </w:r>
        <w:r w:rsidRPr="001F001A">
          <w:rPr>
            <w:rStyle w:val="a3"/>
            <w:sz w:val="24"/>
            <w:szCs w:val="24"/>
            <w:lang w:eastAsia="ru-RU"/>
          </w:rPr>
          <w:t>)</w:t>
        </w:r>
      </w:hyperlink>
      <w:r w:rsidRPr="001F001A">
        <w:rPr>
          <w:color w:val="373E48"/>
          <w:sz w:val="24"/>
          <w:szCs w:val="24"/>
          <w:lang w:eastAsia="ru-RU"/>
        </w:rPr>
        <w:t xml:space="preserve"> (далее – </w:t>
      </w:r>
      <w:proofErr w:type="spellStart"/>
      <w:r w:rsidRPr="001F001A">
        <w:rPr>
          <w:color w:val="373E48"/>
          <w:sz w:val="24"/>
          <w:szCs w:val="24"/>
          <w:lang w:eastAsia="ru-RU"/>
        </w:rPr>
        <w:t>несырьевая</w:t>
      </w:r>
      <w:proofErr w:type="spellEnd"/>
      <w:r w:rsidRPr="001F001A">
        <w:rPr>
          <w:color w:val="373E48"/>
          <w:sz w:val="24"/>
          <w:szCs w:val="24"/>
          <w:lang w:eastAsia="ru-RU"/>
        </w:rPr>
        <w:t xml:space="preserve"> продукция) или имеют за последние 12 месяцев выручку от экспорта </w:t>
      </w:r>
      <w:proofErr w:type="spellStart"/>
      <w:r w:rsidRPr="001F001A">
        <w:rPr>
          <w:color w:val="373E48"/>
          <w:sz w:val="24"/>
          <w:szCs w:val="24"/>
          <w:lang w:eastAsia="ru-RU"/>
        </w:rPr>
        <w:t>несырьевой</w:t>
      </w:r>
      <w:proofErr w:type="spellEnd"/>
      <w:r w:rsidRPr="001F001A">
        <w:rPr>
          <w:color w:val="373E48"/>
          <w:sz w:val="24"/>
          <w:szCs w:val="24"/>
          <w:lang w:eastAsia="ru-RU"/>
        </w:rPr>
        <w:t xml:space="preserve"> продукции или Субъектами МСП - российскими производителями </w:t>
      </w:r>
      <w:proofErr w:type="spellStart"/>
      <w:r w:rsidRPr="001F001A">
        <w:rPr>
          <w:color w:val="373E48"/>
          <w:sz w:val="24"/>
          <w:szCs w:val="24"/>
          <w:lang w:eastAsia="ru-RU"/>
        </w:rPr>
        <w:t>несырьевой</w:t>
      </w:r>
      <w:proofErr w:type="spellEnd"/>
      <w:r w:rsidRPr="001F001A">
        <w:rPr>
          <w:color w:val="373E48"/>
          <w:sz w:val="24"/>
          <w:szCs w:val="24"/>
          <w:lang w:eastAsia="ru-RU"/>
        </w:rPr>
        <w:t xml:space="preserve"> продукции, которые заключили или планируют заключить с Экспортером договор, предусматривающий реализацию указанной продукции, или российскими юридическими лицами - Субъектами, реализующие проект по организации</w:t>
      </w:r>
      <w:proofErr w:type="gramEnd"/>
      <w:r w:rsidRPr="001F001A">
        <w:rPr>
          <w:color w:val="373E48"/>
          <w:sz w:val="24"/>
          <w:szCs w:val="24"/>
          <w:lang w:eastAsia="ru-RU"/>
        </w:rPr>
        <w:t xml:space="preserve"> </w:t>
      </w:r>
      <w:proofErr w:type="spellStart"/>
      <w:r w:rsidRPr="001F001A">
        <w:rPr>
          <w:color w:val="373E48"/>
          <w:sz w:val="24"/>
          <w:szCs w:val="24"/>
          <w:lang w:eastAsia="ru-RU"/>
        </w:rPr>
        <w:t>экспортно</w:t>
      </w:r>
      <w:proofErr w:type="spellEnd"/>
      <w:r w:rsidRPr="001F001A">
        <w:rPr>
          <w:color w:val="373E48"/>
          <w:sz w:val="24"/>
          <w:szCs w:val="24"/>
          <w:lang w:eastAsia="ru-RU"/>
        </w:rPr>
        <w:t xml:space="preserve"> ориентированных производств </w:t>
      </w:r>
      <w:hyperlink w:anchor="42" w:history="1">
        <w:r w:rsidRPr="001F001A">
          <w:rPr>
            <w:rStyle w:val="a3"/>
            <w:sz w:val="24"/>
            <w:szCs w:val="24"/>
            <w:lang w:eastAsia="ru-RU"/>
          </w:rPr>
          <w:t>(</w:t>
        </w:r>
        <w:r>
          <w:rPr>
            <w:rStyle w:val="a3"/>
            <w:sz w:val="24"/>
            <w:szCs w:val="24"/>
            <w:lang w:eastAsia="ru-RU"/>
          </w:rPr>
          <w:t>5</w:t>
        </w:r>
        <w:r w:rsidRPr="001F001A">
          <w:rPr>
            <w:rStyle w:val="a3"/>
            <w:sz w:val="24"/>
            <w:szCs w:val="24"/>
            <w:lang w:eastAsia="ru-RU"/>
          </w:rPr>
          <w:t>)</w:t>
        </w:r>
      </w:hyperlink>
      <w:r w:rsidRPr="001F001A">
        <w:rPr>
          <w:color w:val="373E48"/>
          <w:sz w:val="24"/>
          <w:szCs w:val="24"/>
          <w:lang w:eastAsia="ru-RU"/>
        </w:rPr>
        <w:t xml:space="preserve"> (далее совместно – Экспортеры);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– для Субъектов МСП, осуществляющих деятельность в сфере социального предпринимательства (социальные предприятия):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 наличие в едином реестре субъектов малого и среднего предпринимательства указания на то, что юридическое лицо или индивидуальный предприниматель является социальным предприятием;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– для Субъектов МСП, отнесенных к молодежному предпринимательству: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на дату подачи заявки на получение Гарантии является индивидуальным предпринимателем в возрасте до 35 лет или юридическим лицом при условии, что единоличным исполнительным органом юридического лица является граждани</w:t>
      </w:r>
      <w:proofErr w:type="gramStart"/>
      <w:r w:rsidRPr="001F001A">
        <w:rPr>
          <w:color w:val="373E48"/>
          <w:sz w:val="24"/>
          <w:szCs w:val="24"/>
          <w:lang w:eastAsia="ru-RU"/>
        </w:rPr>
        <w:t>н(</w:t>
      </w:r>
      <w:proofErr w:type="gramEnd"/>
      <w:r w:rsidRPr="001F001A">
        <w:rPr>
          <w:color w:val="373E48"/>
          <w:sz w:val="24"/>
          <w:szCs w:val="24"/>
          <w:lang w:eastAsia="ru-RU"/>
        </w:rPr>
        <w:t xml:space="preserve">-ка) Российской Федерации в возрасте до 35 лет и 50% и более долей в уставном капитале </w:t>
      </w:r>
      <w:r w:rsidRPr="001F001A">
        <w:rPr>
          <w:color w:val="373E48"/>
          <w:sz w:val="24"/>
          <w:szCs w:val="24"/>
          <w:lang w:eastAsia="ru-RU"/>
        </w:rPr>
        <w:lastRenderedPageBreak/>
        <w:t>этого юридического лица принадлежит указанному единоличному исполнительному органу;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– для Субъектов МСП – выпускников акселерационных программ Корпорации: </w:t>
      </w:r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 xml:space="preserve">на дату подачи заявки на получение Гарантии является участником одной из акселерационных программ Корпорации, в том числе программы «МСП: </w:t>
      </w:r>
      <w:proofErr w:type="gramStart"/>
      <w:r w:rsidRPr="001F001A">
        <w:rPr>
          <w:color w:val="373E48"/>
          <w:sz w:val="24"/>
          <w:szCs w:val="24"/>
          <w:lang w:eastAsia="ru-RU"/>
        </w:rPr>
        <w:t>Акселератор инноваций», что подтверждается наличием Субъекта МСП в итоговом списке компаний-участников акселерационной программы,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компаний, или является выпускником (финалистом) одной из акселерационных программ Корпорации, что подтверждается наличием сертификата выпускника (финалиста) акселератора Корпорации по утвержденной Корпорацией форме;</w:t>
      </w:r>
      <w:proofErr w:type="gramEnd"/>
    </w:p>
    <w:p w:rsidR="001F001A" w:rsidRPr="001F001A" w:rsidRDefault="001F001A" w:rsidP="001F001A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– для Субъектов МСП - быстрорастущих инновационных, высокотехнологичных предприятий:</w:t>
      </w:r>
    </w:p>
    <w:p w:rsidR="0076522F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  <w:r w:rsidRPr="001F001A">
        <w:rPr>
          <w:color w:val="373E48"/>
          <w:sz w:val="24"/>
          <w:szCs w:val="24"/>
          <w:lang w:eastAsia="ru-RU"/>
        </w:rPr>
        <w:t>соответствие определению быстрорастущих инновационных, высокотехнологичных предприятий согласно Правилам, а также требованиям, предъявляемым к Заемщику и установленным гарантийным продуктом «Прямая гарантия для быстрорастущих инновационных, высокотехнологичных предприятий»</w:t>
      </w:r>
      <w:r>
        <w:rPr>
          <w:color w:val="373E48"/>
          <w:sz w:val="24"/>
          <w:szCs w:val="24"/>
          <w:lang w:eastAsia="ru-RU"/>
        </w:rPr>
        <w:t>.</w:t>
      </w: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Default="001F001A" w:rsidP="001F001A">
      <w:pPr>
        <w:ind w:firstLine="709"/>
        <w:jc w:val="both"/>
        <w:rPr>
          <w:color w:val="373E48"/>
          <w:sz w:val="24"/>
          <w:szCs w:val="24"/>
          <w:lang w:eastAsia="ru-RU"/>
        </w:rPr>
      </w:pPr>
    </w:p>
    <w:p w:rsidR="001F001A" w:rsidRPr="00EA08E1" w:rsidRDefault="001F001A" w:rsidP="001F001A">
      <w:pPr>
        <w:suppressAutoHyphens w:val="0"/>
        <w:jc w:val="both"/>
        <w:rPr>
          <w:color w:val="373E48"/>
          <w:lang w:eastAsia="ru-RU"/>
        </w:rPr>
      </w:pPr>
      <w:r>
        <w:rPr>
          <w:color w:val="373E48"/>
          <w:lang w:eastAsia="ru-RU"/>
        </w:rPr>
        <w:t>1</w:t>
      </w:r>
      <w:r w:rsidRPr="00EA08E1">
        <w:rPr>
          <w:color w:val="373E48"/>
          <w:lang w:eastAsia="ru-RU"/>
        </w:rPr>
        <w:t>.</w:t>
      </w:r>
      <w:bookmarkStart w:id="1" w:name="38"/>
      <w:bookmarkEnd w:id="1"/>
      <w:r w:rsidRPr="00EA08E1">
        <w:rPr>
          <w:color w:val="373E48"/>
          <w:lang w:eastAsia="ru-RU"/>
        </w:rPr>
        <w:t> Соответствуют критериям, утвержденным постановлением Правительства Российской Федерации от 29.07.2014 № 709, и включены в Перечень моногородов, утвержденный Распоряжением Правительства Российской Федерации от 29.07.2014 № 1398-р.</w:t>
      </w:r>
    </w:p>
    <w:p w:rsidR="001F001A" w:rsidRPr="00EA08E1" w:rsidRDefault="001F001A" w:rsidP="001F001A">
      <w:pPr>
        <w:suppressAutoHyphens w:val="0"/>
        <w:jc w:val="both"/>
        <w:rPr>
          <w:color w:val="373E48"/>
          <w:lang w:eastAsia="ru-RU"/>
        </w:rPr>
      </w:pPr>
      <w:r>
        <w:rPr>
          <w:color w:val="373E48"/>
          <w:lang w:eastAsia="ru-RU"/>
        </w:rPr>
        <w:t>2</w:t>
      </w:r>
      <w:r w:rsidRPr="00EA08E1">
        <w:rPr>
          <w:color w:val="373E48"/>
          <w:lang w:eastAsia="ru-RU"/>
        </w:rPr>
        <w:t>.</w:t>
      </w:r>
      <w:bookmarkStart w:id="2" w:name="39"/>
      <w:bookmarkEnd w:id="2"/>
      <w:r w:rsidRPr="00EA08E1">
        <w:rPr>
          <w:color w:val="373E48"/>
          <w:lang w:eastAsia="ru-RU"/>
        </w:rPr>
        <w:t> Перечень утвержден постановлением Правительства Российской Федерации от 05.07.2001 № 508 «Об утверждении перечня закрытых административно-территориальных образований и расположенных на их территориях населенных пунктов».</w:t>
      </w:r>
    </w:p>
    <w:p w:rsidR="001F001A" w:rsidRPr="00EA08E1" w:rsidRDefault="001F001A" w:rsidP="001F001A">
      <w:pPr>
        <w:suppressAutoHyphens w:val="0"/>
        <w:jc w:val="both"/>
        <w:rPr>
          <w:color w:val="373E48"/>
          <w:lang w:eastAsia="ru-RU"/>
        </w:rPr>
      </w:pPr>
      <w:r>
        <w:rPr>
          <w:color w:val="373E48"/>
          <w:lang w:eastAsia="ru-RU"/>
        </w:rPr>
        <w:t>3</w:t>
      </w:r>
      <w:r w:rsidRPr="00EA08E1">
        <w:rPr>
          <w:color w:val="373E48"/>
          <w:lang w:eastAsia="ru-RU"/>
        </w:rPr>
        <w:t>.</w:t>
      </w:r>
      <w:bookmarkStart w:id="3" w:name="40"/>
      <w:bookmarkEnd w:id="3"/>
      <w:r w:rsidRPr="00EA08E1">
        <w:rPr>
          <w:color w:val="373E48"/>
          <w:lang w:eastAsia="ru-RU"/>
        </w:rPr>
        <w:t> Республики Алтай, Карелия, Тува и Марий Эл, Курганская и Псковская области, Республика Адыгея, Алтайский край, Чувашская Республика и Республика Калмыкия.</w:t>
      </w:r>
    </w:p>
    <w:p w:rsidR="001F001A" w:rsidRPr="00EA08E1" w:rsidRDefault="001F001A" w:rsidP="001F001A">
      <w:pPr>
        <w:suppressAutoHyphens w:val="0"/>
        <w:jc w:val="both"/>
        <w:rPr>
          <w:color w:val="373E48"/>
          <w:lang w:eastAsia="ru-RU"/>
        </w:rPr>
      </w:pPr>
      <w:r>
        <w:rPr>
          <w:color w:val="373E48"/>
          <w:lang w:eastAsia="ru-RU"/>
        </w:rPr>
        <w:t>4</w:t>
      </w:r>
      <w:r w:rsidRPr="00EA08E1">
        <w:rPr>
          <w:color w:val="373E48"/>
          <w:lang w:eastAsia="ru-RU"/>
        </w:rPr>
        <w:t>.</w:t>
      </w:r>
      <w:bookmarkStart w:id="4" w:name="41"/>
      <w:bookmarkEnd w:id="4"/>
      <w:r w:rsidRPr="00EA08E1">
        <w:rPr>
          <w:color w:val="373E48"/>
          <w:lang w:eastAsia="ru-RU"/>
        </w:rPr>
        <w:t xml:space="preserve"> Определяется в соответствии с методологией, утвержденной приказом </w:t>
      </w:r>
      <w:proofErr w:type="spellStart"/>
      <w:r w:rsidRPr="00EA08E1">
        <w:rPr>
          <w:color w:val="373E48"/>
          <w:lang w:eastAsia="ru-RU"/>
        </w:rPr>
        <w:t>Минпромторга</w:t>
      </w:r>
      <w:proofErr w:type="spellEnd"/>
      <w:r w:rsidRPr="00EA08E1">
        <w:rPr>
          <w:color w:val="373E48"/>
          <w:lang w:eastAsia="ru-RU"/>
        </w:rPr>
        <w:t xml:space="preserve"> России от 04.12.2020 № 4247 (по кодам ТН ВЭД ЕАЭС товаров отраслей промышленности и продукции агропромышленного комплекса).</w:t>
      </w:r>
    </w:p>
    <w:p w:rsidR="001F001A" w:rsidRPr="00EA08E1" w:rsidRDefault="001F001A" w:rsidP="001F001A">
      <w:pPr>
        <w:suppressAutoHyphens w:val="0"/>
        <w:jc w:val="both"/>
        <w:rPr>
          <w:color w:val="373E48"/>
          <w:lang w:eastAsia="ru-RU"/>
        </w:rPr>
      </w:pPr>
      <w:r>
        <w:rPr>
          <w:color w:val="373E48"/>
          <w:lang w:eastAsia="ru-RU"/>
        </w:rPr>
        <w:t>5</w:t>
      </w:r>
      <w:r w:rsidRPr="00EA08E1">
        <w:rPr>
          <w:color w:val="373E48"/>
          <w:lang w:eastAsia="ru-RU"/>
        </w:rPr>
        <w:t>.</w:t>
      </w:r>
      <w:bookmarkStart w:id="5" w:name="42"/>
      <w:bookmarkEnd w:id="5"/>
      <w:r w:rsidRPr="00EA08E1">
        <w:rPr>
          <w:color w:val="373E48"/>
          <w:lang w:eastAsia="ru-RU"/>
        </w:rPr>
        <w:t> Сделка или несколько сделок, которые направлены на модернизацию и (или) создание (организацию) производств, включая связанные с ними объекты инфраструктуры, и предусматривают производство и экспорт продукции в объеме не менее 30 процентов планируемого объема выручки создаваемого (модернизируемого) производства.</w:t>
      </w:r>
    </w:p>
    <w:p w:rsidR="001F001A" w:rsidRPr="001F001A" w:rsidRDefault="001F001A" w:rsidP="001F001A">
      <w:pPr>
        <w:ind w:firstLine="709"/>
        <w:jc w:val="both"/>
        <w:rPr>
          <w:sz w:val="24"/>
          <w:szCs w:val="24"/>
        </w:rPr>
      </w:pPr>
    </w:p>
    <w:sectPr w:rsidR="001F001A" w:rsidRPr="001F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1A"/>
    <w:rsid w:val="001F001A"/>
    <w:rsid w:val="007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1A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1A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Галина Николаевна</dc:creator>
  <cp:lastModifiedBy>Гончарова Галина Николаевна</cp:lastModifiedBy>
  <cp:revision>1</cp:revision>
  <dcterms:created xsi:type="dcterms:W3CDTF">2021-08-17T10:04:00Z</dcterms:created>
  <dcterms:modified xsi:type="dcterms:W3CDTF">2021-08-17T10:06:00Z</dcterms:modified>
</cp:coreProperties>
</file>